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B86" w:rsidRDefault="00863B86" w:rsidP="00863B86">
      <w:pPr>
        <w:jc w:val="center"/>
        <w:rPr>
          <w:b/>
        </w:rPr>
      </w:pPr>
      <w:r>
        <w:rPr>
          <w:b/>
        </w:rPr>
        <w:t>Katowicka Specjalna Strefa Ekonomiczna</w:t>
      </w:r>
    </w:p>
    <w:p w:rsidR="00863B86" w:rsidRDefault="00863B86" w:rsidP="00863B86">
      <w:pPr>
        <w:jc w:val="center"/>
        <w:rPr>
          <w:b/>
        </w:rPr>
      </w:pPr>
      <w:r>
        <w:rPr>
          <w:b/>
        </w:rPr>
        <w:t>Spółka Akcyjna w Katowicach</w:t>
      </w:r>
    </w:p>
    <w:p w:rsidR="00863B86" w:rsidRDefault="00863B86" w:rsidP="00863B86">
      <w:pPr>
        <w:jc w:val="center"/>
        <w:rPr>
          <w:b/>
        </w:rPr>
      </w:pPr>
      <w:r>
        <w:rPr>
          <w:b/>
        </w:rPr>
        <w:t xml:space="preserve">(Katowice Special </w:t>
      </w:r>
      <w:proofErr w:type="spellStart"/>
      <w:r>
        <w:rPr>
          <w:b/>
        </w:rPr>
        <w:t>Economic</w:t>
      </w:r>
      <w:proofErr w:type="spellEnd"/>
      <w:r>
        <w:rPr>
          <w:b/>
        </w:rPr>
        <w:t xml:space="preserve"> Zone Co. in Katowice)</w:t>
      </w:r>
    </w:p>
    <w:p w:rsidR="00863B86" w:rsidRDefault="00863B86" w:rsidP="00863B86">
      <w:pPr>
        <w:jc w:val="center"/>
        <w:rPr>
          <w:b/>
        </w:rPr>
      </w:pPr>
      <w:r>
        <w:rPr>
          <w:b/>
        </w:rPr>
        <w:t>40-026 Katowice, Wojewódzka 42</w:t>
      </w:r>
    </w:p>
    <w:p w:rsidR="00863B86" w:rsidRDefault="00863B86" w:rsidP="00863B86">
      <w:pPr>
        <w:jc w:val="center"/>
        <w:rPr>
          <w:b/>
          <w:lang w:val="en-US"/>
        </w:rPr>
      </w:pPr>
      <w:r>
        <w:rPr>
          <w:b/>
          <w:lang w:val="en-US"/>
        </w:rPr>
        <w:t>Tel. (+48 32) 2510-736, Fax.: (+48 32) 2513 766</w:t>
      </w:r>
    </w:p>
    <w:p w:rsidR="00863B86" w:rsidRDefault="00863B86" w:rsidP="00863B86">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863B86" w:rsidRDefault="00863B86" w:rsidP="00863B86">
      <w:pPr>
        <w:rPr>
          <w:b/>
          <w:lang w:val="en-US"/>
        </w:rPr>
      </w:pPr>
    </w:p>
    <w:p w:rsidR="00863B86" w:rsidRDefault="00863B86" w:rsidP="00863B86">
      <w:pPr>
        <w:jc w:val="both"/>
        <w:rPr>
          <w:b/>
          <w:lang w:val="en-US"/>
        </w:rPr>
      </w:pPr>
      <w:r>
        <w:rPr>
          <w:b/>
          <w:lang w:val="en-US"/>
        </w:rPr>
        <w:t>Announces the invitation for the joint tender aiming at:</w:t>
      </w:r>
    </w:p>
    <w:p w:rsidR="00863B86" w:rsidRDefault="00863B86" w:rsidP="00863B86">
      <w:pPr>
        <w:jc w:val="both"/>
        <w:rPr>
          <w:b/>
          <w:lang w:val="en-US"/>
        </w:rPr>
      </w:pPr>
    </w:p>
    <w:p w:rsidR="00863B86" w:rsidRDefault="00863B86" w:rsidP="00C5691B">
      <w:pPr>
        <w:numPr>
          <w:ilvl w:val="0"/>
          <w:numId w:val="1"/>
        </w:numPr>
        <w:jc w:val="both"/>
        <w:rPr>
          <w:lang w:val="en-US"/>
        </w:rPr>
      </w:pPr>
      <w:r>
        <w:rPr>
          <w:lang w:val="en-US"/>
        </w:rPr>
        <w:t xml:space="preserve">Giving the permit to conduct </w:t>
      </w:r>
      <w:r w:rsidRPr="00863B86">
        <w:rPr>
          <w:lang w:val="en-US"/>
        </w:rPr>
        <w:t xml:space="preserve">business activity within the Katowice Special Economic Zone </w:t>
      </w:r>
    </w:p>
    <w:p w:rsidR="00863B86" w:rsidRDefault="00863B86" w:rsidP="00C5691B">
      <w:pPr>
        <w:numPr>
          <w:ilvl w:val="0"/>
          <w:numId w:val="1"/>
        </w:numPr>
        <w:jc w:val="both"/>
        <w:rPr>
          <w:lang w:val="en-US"/>
        </w:rPr>
      </w:pPr>
      <w:r>
        <w:rPr>
          <w:lang w:val="en-US"/>
        </w:rPr>
        <w:t>Sale of the property described below</w:t>
      </w:r>
    </w:p>
    <w:p w:rsidR="00863B86" w:rsidRDefault="00863B86" w:rsidP="00863B86">
      <w:pPr>
        <w:jc w:val="both"/>
        <w:rPr>
          <w:lang w:val="en-US"/>
        </w:rPr>
      </w:pPr>
    </w:p>
    <w:p w:rsidR="00863B86" w:rsidRDefault="00863B86" w:rsidP="00863B86">
      <w:pPr>
        <w:rPr>
          <w:b/>
          <w:bCs/>
        </w:rPr>
      </w:pPr>
      <w:r>
        <w:rPr>
          <w:b/>
        </w:rPr>
        <w:t>Przedmiotem przetargu jest</w:t>
      </w:r>
      <w:r>
        <w:rPr>
          <w:b/>
          <w:color w:val="FF0000"/>
        </w:rPr>
        <w:t xml:space="preserve"> </w:t>
      </w:r>
      <w:r w:rsidRPr="005970AE">
        <w:rPr>
          <w:b/>
        </w:rPr>
        <w:t>nieruchomość niezabudowana o</w:t>
      </w:r>
      <w:r>
        <w:rPr>
          <w:b/>
        </w:rPr>
        <w:t xml:space="preserve"> łącznej powierzchni 4,0306</w:t>
      </w:r>
      <w:r>
        <w:rPr>
          <w:b/>
          <w:bCs/>
        </w:rPr>
        <w:t> ha</w:t>
      </w:r>
      <w:r>
        <w:rPr>
          <w:b/>
        </w:rPr>
        <w:t xml:space="preserve"> </w:t>
      </w:r>
      <w:r>
        <w:rPr>
          <w:b/>
          <w:bCs/>
        </w:rPr>
        <w:t>położona na terenie Pola Wygoda w Żorach, obręb Folwarki karta mapy 1</w:t>
      </w:r>
      <w:r w:rsidRPr="009B6AD9">
        <w:rPr>
          <w:b/>
          <w:bCs/>
        </w:rPr>
        <w:t>składająca</w:t>
      </w:r>
      <w:r>
        <w:rPr>
          <w:b/>
          <w:bCs/>
        </w:rPr>
        <w:t xml:space="preserve"> się z </w:t>
      </w:r>
      <w:r w:rsidRPr="005970AE">
        <w:rPr>
          <w:b/>
          <w:bCs/>
        </w:rPr>
        <w:t>działek gruntowych</w:t>
      </w:r>
      <w:r>
        <w:rPr>
          <w:b/>
          <w:bCs/>
        </w:rPr>
        <w:t>:</w:t>
      </w:r>
    </w:p>
    <w:p w:rsidR="00863B86" w:rsidRDefault="00863B86" w:rsidP="00863B86">
      <w:pPr>
        <w:jc w:val="both"/>
        <w:rPr>
          <w:lang w:val="en-US"/>
        </w:rPr>
      </w:pPr>
    </w:p>
    <w:p w:rsidR="00863B86" w:rsidRPr="00863B86" w:rsidRDefault="00863B86" w:rsidP="00863B86">
      <w:pPr>
        <w:jc w:val="both"/>
        <w:rPr>
          <w:lang w:val="en-US"/>
        </w:rPr>
      </w:pPr>
      <w:r>
        <w:rPr>
          <w:lang w:val="en-US"/>
        </w:rPr>
        <w:t xml:space="preserve">The subject of the tender is undeveloped property with the area of </w:t>
      </w:r>
      <w:r>
        <w:rPr>
          <w:b/>
          <w:lang w:val="en-US"/>
        </w:rPr>
        <w:t>4,0306</w:t>
      </w:r>
      <w:r>
        <w:rPr>
          <w:b/>
          <w:lang w:val="en-US"/>
        </w:rPr>
        <w:t xml:space="preserve"> </w:t>
      </w:r>
      <w:r>
        <w:rPr>
          <w:b/>
          <w:bCs/>
          <w:lang w:val="en-US"/>
        </w:rPr>
        <w:t xml:space="preserve">ha </w:t>
      </w:r>
      <w:r>
        <w:rPr>
          <w:lang w:val="en-US"/>
        </w:rPr>
        <w:t xml:space="preserve">located within Pole </w:t>
      </w:r>
      <w:proofErr w:type="spellStart"/>
      <w:r>
        <w:rPr>
          <w:lang w:val="en-US"/>
        </w:rPr>
        <w:t>Wygoda</w:t>
      </w:r>
      <w:proofErr w:type="spellEnd"/>
      <w:r>
        <w:rPr>
          <w:lang w:val="en-US"/>
        </w:rPr>
        <w:t xml:space="preserve"> in </w:t>
      </w:r>
      <w:proofErr w:type="spellStart"/>
      <w:r>
        <w:rPr>
          <w:lang w:val="en-US"/>
        </w:rPr>
        <w:t>Żory</w:t>
      </w:r>
      <w:proofErr w:type="spellEnd"/>
      <w:r>
        <w:rPr>
          <w:lang w:val="en-US"/>
        </w:rPr>
        <w:t xml:space="preserve">, district </w:t>
      </w:r>
      <w:proofErr w:type="spellStart"/>
      <w:r>
        <w:rPr>
          <w:lang w:val="en-US"/>
        </w:rPr>
        <w:t>Folwarki</w:t>
      </w:r>
      <w:proofErr w:type="spellEnd"/>
      <w:r>
        <w:rPr>
          <w:lang w:val="en-US"/>
        </w:rPr>
        <w:t>, map card 1, consisting of ground plots</w:t>
      </w:r>
      <w:r>
        <w:rPr>
          <w:b/>
          <w:lang w:val="en-US"/>
        </w:rPr>
        <w:t>:</w:t>
      </w:r>
    </w:p>
    <w:p w:rsidR="00965613" w:rsidRDefault="00965613"/>
    <w:tbl>
      <w:tblPr>
        <w:tblW w:w="4994" w:type="dxa"/>
        <w:tblInd w:w="20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91"/>
        <w:gridCol w:w="1576"/>
        <w:gridCol w:w="2127"/>
      </w:tblGrid>
      <w:tr w:rsidR="00863B86" w:rsidRPr="00AD022B" w:rsidTr="00FC40F1">
        <w:trPr>
          <w:trHeight w:val="300"/>
        </w:trPr>
        <w:tc>
          <w:tcPr>
            <w:tcW w:w="1291" w:type="dxa"/>
            <w:shd w:val="clear" w:color="auto" w:fill="auto"/>
            <w:noWrap/>
            <w:vAlign w:val="center"/>
          </w:tcPr>
          <w:p w:rsidR="00863B86" w:rsidRPr="00AD022B" w:rsidRDefault="00863B86" w:rsidP="00FC40F1">
            <w:pPr>
              <w:jc w:val="center"/>
              <w:rPr>
                <w:b/>
                <w:sz w:val="22"/>
                <w:szCs w:val="22"/>
              </w:rPr>
            </w:pPr>
            <w:proofErr w:type="spellStart"/>
            <w:r>
              <w:rPr>
                <w:b/>
                <w:sz w:val="22"/>
                <w:szCs w:val="22"/>
              </w:rPr>
              <w:t>Evidential</w:t>
            </w:r>
            <w:proofErr w:type="spellEnd"/>
            <w:r>
              <w:rPr>
                <w:b/>
                <w:sz w:val="22"/>
                <w:szCs w:val="22"/>
              </w:rPr>
              <w:t xml:space="preserve"> nr</w:t>
            </w:r>
          </w:p>
        </w:tc>
        <w:tc>
          <w:tcPr>
            <w:tcW w:w="1576" w:type="dxa"/>
            <w:shd w:val="clear" w:color="auto" w:fill="auto"/>
            <w:noWrap/>
            <w:vAlign w:val="center"/>
          </w:tcPr>
          <w:p w:rsidR="00863B86" w:rsidRPr="00AD022B" w:rsidRDefault="00863B86" w:rsidP="00FC40F1">
            <w:pPr>
              <w:jc w:val="center"/>
              <w:rPr>
                <w:b/>
                <w:sz w:val="22"/>
                <w:szCs w:val="22"/>
              </w:rPr>
            </w:pPr>
            <w:proofErr w:type="spellStart"/>
            <w:r>
              <w:rPr>
                <w:b/>
                <w:sz w:val="22"/>
                <w:szCs w:val="22"/>
              </w:rPr>
              <w:t>Area</w:t>
            </w:r>
            <w:proofErr w:type="spellEnd"/>
            <w:r w:rsidRPr="00AD022B">
              <w:rPr>
                <w:b/>
                <w:sz w:val="22"/>
                <w:szCs w:val="22"/>
              </w:rPr>
              <w:t xml:space="preserve"> (ha)</w:t>
            </w:r>
          </w:p>
        </w:tc>
        <w:tc>
          <w:tcPr>
            <w:tcW w:w="2127" w:type="dxa"/>
            <w:shd w:val="clear" w:color="auto" w:fill="auto"/>
            <w:noWrap/>
            <w:vAlign w:val="center"/>
          </w:tcPr>
          <w:p w:rsidR="00863B86" w:rsidRPr="00AD022B" w:rsidRDefault="00863B86" w:rsidP="00FC40F1">
            <w:pPr>
              <w:jc w:val="center"/>
              <w:rPr>
                <w:b/>
                <w:sz w:val="22"/>
                <w:szCs w:val="22"/>
              </w:rPr>
            </w:pPr>
            <w:r w:rsidRPr="00AD022B">
              <w:rPr>
                <w:b/>
                <w:sz w:val="22"/>
                <w:szCs w:val="22"/>
              </w:rPr>
              <w:t>KW</w:t>
            </w:r>
          </w:p>
        </w:tc>
      </w:tr>
      <w:tr w:rsidR="00863B86" w:rsidRPr="00AD022B" w:rsidTr="00FC40F1">
        <w:trPr>
          <w:trHeight w:val="300"/>
        </w:trPr>
        <w:tc>
          <w:tcPr>
            <w:tcW w:w="1291" w:type="dxa"/>
            <w:shd w:val="clear" w:color="auto" w:fill="auto"/>
            <w:noWrap/>
            <w:vAlign w:val="bottom"/>
            <w:hideMark/>
          </w:tcPr>
          <w:p w:rsidR="00863B86" w:rsidRPr="00AD022B" w:rsidRDefault="00863B86" w:rsidP="00FC40F1">
            <w:pPr>
              <w:jc w:val="center"/>
              <w:rPr>
                <w:sz w:val="22"/>
                <w:szCs w:val="22"/>
              </w:rPr>
            </w:pPr>
            <w:r w:rsidRPr="00AD022B">
              <w:rPr>
                <w:sz w:val="22"/>
                <w:szCs w:val="22"/>
              </w:rPr>
              <w:t>1316/147</w:t>
            </w:r>
          </w:p>
        </w:tc>
        <w:tc>
          <w:tcPr>
            <w:tcW w:w="1576" w:type="dxa"/>
            <w:shd w:val="clear" w:color="auto" w:fill="auto"/>
            <w:noWrap/>
            <w:vAlign w:val="bottom"/>
            <w:hideMark/>
          </w:tcPr>
          <w:p w:rsidR="00863B86" w:rsidRPr="00AD022B" w:rsidRDefault="00863B86" w:rsidP="00FC40F1">
            <w:pPr>
              <w:jc w:val="center"/>
              <w:rPr>
                <w:sz w:val="22"/>
                <w:szCs w:val="22"/>
              </w:rPr>
            </w:pPr>
            <w:r w:rsidRPr="00AD022B">
              <w:rPr>
                <w:sz w:val="22"/>
                <w:szCs w:val="22"/>
              </w:rPr>
              <w:t>0,3733</w:t>
            </w:r>
          </w:p>
        </w:tc>
        <w:tc>
          <w:tcPr>
            <w:tcW w:w="2127" w:type="dxa"/>
            <w:shd w:val="clear" w:color="auto" w:fill="auto"/>
            <w:noWrap/>
            <w:vAlign w:val="bottom"/>
            <w:hideMark/>
          </w:tcPr>
          <w:p w:rsidR="00863B86" w:rsidRPr="00AD022B" w:rsidRDefault="00863B86" w:rsidP="00FC40F1">
            <w:pPr>
              <w:jc w:val="center"/>
              <w:rPr>
                <w:sz w:val="22"/>
                <w:szCs w:val="22"/>
              </w:rPr>
            </w:pPr>
            <w:r w:rsidRPr="00AD022B">
              <w:rPr>
                <w:sz w:val="22"/>
                <w:szCs w:val="22"/>
              </w:rPr>
              <w:t>GL1X/00008831/0</w:t>
            </w:r>
          </w:p>
        </w:tc>
      </w:tr>
      <w:tr w:rsidR="00863B86" w:rsidRPr="00AD022B" w:rsidTr="00FC40F1">
        <w:trPr>
          <w:trHeight w:val="300"/>
        </w:trPr>
        <w:tc>
          <w:tcPr>
            <w:tcW w:w="1291" w:type="dxa"/>
            <w:shd w:val="clear" w:color="auto" w:fill="auto"/>
            <w:noWrap/>
            <w:vAlign w:val="bottom"/>
            <w:hideMark/>
          </w:tcPr>
          <w:p w:rsidR="00863B86" w:rsidRPr="00AD022B" w:rsidRDefault="00863B86" w:rsidP="00FC40F1">
            <w:pPr>
              <w:jc w:val="center"/>
              <w:rPr>
                <w:sz w:val="22"/>
                <w:szCs w:val="22"/>
              </w:rPr>
            </w:pPr>
            <w:r w:rsidRPr="00AD022B">
              <w:rPr>
                <w:sz w:val="22"/>
                <w:szCs w:val="22"/>
              </w:rPr>
              <w:t>1839/147</w:t>
            </w:r>
          </w:p>
        </w:tc>
        <w:tc>
          <w:tcPr>
            <w:tcW w:w="1576" w:type="dxa"/>
            <w:shd w:val="clear" w:color="auto" w:fill="auto"/>
            <w:noWrap/>
            <w:vAlign w:val="bottom"/>
            <w:hideMark/>
          </w:tcPr>
          <w:p w:rsidR="00863B86" w:rsidRPr="00AD022B" w:rsidRDefault="00863B86" w:rsidP="00FC40F1">
            <w:pPr>
              <w:jc w:val="center"/>
              <w:rPr>
                <w:sz w:val="22"/>
                <w:szCs w:val="22"/>
              </w:rPr>
            </w:pPr>
            <w:r w:rsidRPr="00AD022B">
              <w:rPr>
                <w:sz w:val="22"/>
                <w:szCs w:val="22"/>
              </w:rPr>
              <w:t>0,1429</w:t>
            </w:r>
          </w:p>
        </w:tc>
        <w:tc>
          <w:tcPr>
            <w:tcW w:w="2127" w:type="dxa"/>
            <w:shd w:val="clear" w:color="auto" w:fill="auto"/>
            <w:noWrap/>
            <w:vAlign w:val="bottom"/>
            <w:hideMark/>
          </w:tcPr>
          <w:p w:rsidR="00863B86" w:rsidRPr="00AD022B" w:rsidRDefault="00863B86" w:rsidP="00FC40F1">
            <w:pPr>
              <w:jc w:val="center"/>
              <w:rPr>
                <w:sz w:val="22"/>
                <w:szCs w:val="22"/>
              </w:rPr>
            </w:pPr>
            <w:r w:rsidRPr="00AD022B">
              <w:rPr>
                <w:sz w:val="22"/>
                <w:szCs w:val="22"/>
              </w:rPr>
              <w:t>GL1X/00002308/3</w:t>
            </w:r>
          </w:p>
        </w:tc>
      </w:tr>
      <w:tr w:rsidR="00863B86" w:rsidRPr="00AD022B" w:rsidTr="00FC40F1">
        <w:trPr>
          <w:trHeight w:val="300"/>
        </w:trPr>
        <w:tc>
          <w:tcPr>
            <w:tcW w:w="1291" w:type="dxa"/>
            <w:shd w:val="clear" w:color="auto" w:fill="auto"/>
            <w:noWrap/>
            <w:vAlign w:val="bottom"/>
            <w:hideMark/>
          </w:tcPr>
          <w:p w:rsidR="00863B86" w:rsidRPr="00AD022B" w:rsidRDefault="00863B86" w:rsidP="00FC40F1">
            <w:pPr>
              <w:jc w:val="center"/>
              <w:rPr>
                <w:sz w:val="22"/>
                <w:szCs w:val="22"/>
              </w:rPr>
            </w:pPr>
            <w:r w:rsidRPr="00AD022B">
              <w:rPr>
                <w:sz w:val="22"/>
                <w:szCs w:val="22"/>
              </w:rPr>
              <w:t>490/147</w:t>
            </w:r>
          </w:p>
        </w:tc>
        <w:tc>
          <w:tcPr>
            <w:tcW w:w="1576" w:type="dxa"/>
            <w:shd w:val="clear" w:color="auto" w:fill="auto"/>
            <w:noWrap/>
            <w:vAlign w:val="bottom"/>
            <w:hideMark/>
          </w:tcPr>
          <w:p w:rsidR="00863B86" w:rsidRPr="00AD022B" w:rsidRDefault="00863B86" w:rsidP="00FC40F1">
            <w:pPr>
              <w:jc w:val="center"/>
              <w:rPr>
                <w:sz w:val="22"/>
                <w:szCs w:val="22"/>
              </w:rPr>
            </w:pPr>
            <w:r w:rsidRPr="00AD022B">
              <w:rPr>
                <w:sz w:val="22"/>
                <w:szCs w:val="22"/>
              </w:rPr>
              <w:t>0,5219</w:t>
            </w:r>
          </w:p>
        </w:tc>
        <w:tc>
          <w:tcPr>
            <w:tcW w:w="2127" w:type="dxa"/>
            <w:shd w:val="clear" w:color="auto" w:fill="auto"/>
            <w:noWrap/>
            <w:vAlign w:val="bottom"/>
            <w:hideMark/>
          </w:tcPr>
          <w:p w:rsidR="00863B86" w:rsidRPr="00AD022B" w:rsidRDefault="00863B86" w:rsidP="00FC40F1">
            <w:pPr>
              <w:jc w:val="center"/>
              <w:rPr>
                <w:sz w:val="22"/>
                <w:szCs w:val="22"/>
              </w:rPr>
            </w:pPr>
            <w:r w:rsidRPr="00AD022B">
              <w:rPr>
                <w:sz w:val="22"/>
                <w:szCs w:val="22"/>
              </w:rPr>
              <w:t>GL1X/00001017/9</w:t>
            </w:r>
          </w:p>
        </w:tc>
      </w:tr>
      <w:tr w:rsidR="00863B86" w:rsidRPr="00AD022B" w:rsidTr="00FC40F1">
        <w:trPr>
          <w:trHeight w:val="300"/>
        </w:trPr>
        <w:tc>
          <w:tcPr>
            <w:tcW w:w="1291" w:type="dxa"/>
            <w:shd w:val="clear" w:color="auto" w:fill="auto"/>
            <w:noWrap/>
            <w:vAlign w:val="bottom"/>
            <w:hideMark/>
          </w:tcPr>
          <w:p w:rsidR="00863B86" w:rsidRPr="00AD022B" w:rsidRDefault="00863B86" w:rsidP="00FC40F1">
            <w:pPr>
              <w:jc w:val="center"/>
              <w:rPr>
                <w:sz w:val="22"/>
                <w:szCs w:val="22"/>
              </w:rPr>
            </w:pPr>
            <w:r w:rsidRPr="00AD022B">
              <w:rPr>
                <w:sz w:val="22"/>
                <w:szCs w:val="22"/>
              </w:rPr>
              <w:t>1837/147</w:t>
            </w:r>
          </w:p>
        </w:tc>
        <w:tc>
          <w:tcPr>
            <w:tcW w:w="1576" w:type="dxa"/>
            <w:shd w:val="clear" w:color="auto" w:fill="auto"/>
            <w:noWrap/>
            <w:vAlign w:val="bottom"/>
            <w:hideMark/>
          </w:tcPr>
          <w:p w:rsidR="00863B86" w:rsidRPr="00AD022B" w:rsidRDefault="00863B86" w:rsidP="00FC40F1">
            <w:pPr>
              <w:jc w:val="center"/>
              <w:rPr>
                <w:sz w:val="22"/>
                <w:szCs w:val="22"/>
              </w:rPr>
            </w:pPr>
            <w:r w:rsidRPr="00AD022B">
              <w:rPr>
                <w:sz w:val="22"/>
                <w:szCs w:val="22"/>
              </w:rPr>
              <w:t>0,0748</w:t>
            </w:r>
          </w:p>
        </w:tc>
        <w:tc>
          <w:tcPr>
            <w:tcW w:w="2127" w:type="dxa"/>
            <w:shd w:val="clear" w:color="auto" w:fill="auto"/>
            <w:noWrap/>
            <w:vAlign w:val="bottom"/>
            <w:hideMark/>
          </w:tcPr>
          <w:p w:rsidR="00863B86" w:rsidRPr="00AD022B" w:rsidRDefault="00863B86" w:rsidP="00FC40F1">
            <w:pPr>
              <w:jc w:val="center"/>
              <w:rPr>
                <w:sz w:val="22"/>
                <w:szCs w:val="22"/>
              </w:rPr>
            </w:pPr>
            <w:r w:rsidRPr="00AD022B">
              <w:rPr>
                <w:sz w:val="22"/>
                <w:szCs w:val="22"/>
              </w:rPr>
              <w:t>GL1X/00002308/3</w:t>
            </w:r>
          </w:p>
        </w:tc>
      </w:tr>
      <w:tr w:rsidR="00863B86" w:rsidRPr="00AD022B" w:rsidTr="00FC40F1">
        <w:trPr>
          <w:trHeight w:val="300"/>
        </w:trPr>
        <w:tc>
          <w:tcPr>
            <w:tcW w:w="1291" w:type="dxa"/>
            <w:shd w:val="clear" w:color="auto" w:fill="auto"/>
            <w:noWrap/>
            <w:vAlign w:val="bottom"/>
            <w:hideMark/>
          </w:tcPr>
          <w:p w:rsidR="00863B86" w:rsidRPr="00AD022B" w:rsidRDefault="00863B86" w:rsidP="00FC40F1">
            <w:pPr>
              <w:jc w:val="center"/>
              <w:rPr>
                <w:sz w:val="22"/>
                <w:szCs w:val="22"/>
              </w:rPr>
            </w:pPr>
            <w:r w:rsidRPr="00AD022B">
              <w:rPr>
                <w:sz w:val="22"/>
                <w:szCs w:val="22"/>
              </w:rPr>
              <w:t>1835/147</w:t>
            </w:r>
          </w:p>
        </w:tc>
        <w:tc>
          <w:tcPr>
            <w:tcW w:w="1576" w:type="dxa"/>
            <w:shd w:val="clear" w:color="auto" w:fill="auto"/>
            <w:noWrap/>
            <w:vAlign w:val="bottom"/>
            <w:hideMark/>
          </w:tcPr>
          <w:p w:rsidR="00863B86" w:rsidRPr="00AD022B" w:rsidRDefault="00863B86" w:rsidP="00FC40F1">
            <w:pPr>
              <w:jc w:val="center"/>
              <w:rPr>
                <w:sz w:val="22"/>
                <w:szCs w:val="22"/>
              </w:rPr>
            </w:pPr>
            <w:r w:rsidRPr="00AD022B">
              <w:rPr>
                <w:sz w:val="22"/>
                <w:szCs w:val="22"/>
              </w:rPr>
              <w:t>0,0755</w:t>
            </w:r>
          </w:p>
        </w:tc>
        <w:tc>
          <w:tcPr>
            <w:tcW w:w="2127" w:type="dxa"/>
            <w:shd w:val="clear" w:color="auto" w:fill="auto"/>
            <w:noWrap/>
            <w:vAlign w:val="bottom"/>
            <w:hideMark/>
          </w:tcPr>
          <w:p w:rsidR="00863B86" w:rsidRPr="00AD022B" w:rsidRDefault="00863B86" w:rsidP="00FC40F1">
            <w:pPr>
              <w:jc w:val="center"/>
              <w:rPr>
                <w:sz w:val="22"/>
                <w:szCs w:val="22"/>
              </w:rPr>
            </w:pPr>
            <w:r w:rsidRPr="00AD022B">
              <w:rPr>
                <w:sz w:val="22"/>
                <w:szCs w:val="22"/>
              </w:rPr>
              <w:t>GL1X/00002308/3</w:t>
            </w:r>
          </w:p>
        </w:tc>
      </w:tr>
      <w:tr w:rsidR="00863B86" w:rsidRPr="00AD022B" w:rsidTr="00FC40F1">
        <w:trPr>
          <w:trHeight w:val="300"/>
        </w:trPr>
        <w:tc>
          <w:tcPr>
            <w:tcW w:w="1291" w:type="dxa"/>
            <w:shd w:val="clear" w:color="auto" w:fill="auto"/>
            <w:noWrap/>
            <w:vAlign w:val="bottom"/>
            <w:hideMark/>
          </w:tcPr>
          <w:p w:rsidR="00863B86" w:rsidRPr="00AD022B" w:rsidRDefault="00863B86" w:rsidP="00FC40F1">
            <w:pPr>
              <w:jc w:val="center"/>
              <w:rPr>
                <w:sz w:val="22"/>
                <w:szCs w:val="22"/>
              </w:rPr>
            </w:pPr>
            <w:r w:rsidRPr="00AD022B">
              <w:rPr>
                <w:sz w:val="22"/>
                <w:szCs w:val="22"/>
              </w:rPr>
              <w:t>1670/151</w:t>
            </w:r>
          </w:p>
        </w:tc>
        <w:tc>
          <w:tcPr>
            <w:tcW w:w="1576" w:type="dxa"/>
            <w:shd w:val="clear" w:color="auto" w:fill="auto"/>
            <w:noWrap/>
            <w:vAlign w:val="bottom"/>
            <w:hideMark/>
          </w:tcPr>
          <w:p w:rsidR="00863B86" w:rsidRPr="00AD022B" w:rsidRDefault="00863B86" w:rsidP="00FC40F1">
            <w:pPr>
              <w:jc w:val="center"/>
              <w:rPr>
                <w:sz w:val="22"/>
                <w:szCs w:val="22"/>
              </w:rPr>
            </w:pPr>
            <w:r w:rsidRPr="00AD022B">
              <w:rPr>
                <w:sz w:val="22"/>
                <w:szCs w:val="22"/>
              </w:rPr>
              <w:t>0,1410</w:t>
            </w:r>
          </w:p>
        </w:tc>
        <w:tc>
          <w:tcPr>
            <w:tcW w:w="2127" w:type="dxa"/>
            <w:shd w:val="clear" w:color="auto" w:fill="auto"/>
            <w:noWrap/>
            <w:vAlign w:val="bottom"/>
            <w:hideMark/>
          </w:tcPr>
          <w:p w:rsidR="00863B86" w:rsidRPr="00AD022B" w:rsidRDefault="00863B86" w:rsidP="00FC40F1">
            <w:pPr>
              <w:jc w:val="center"/>
              <w:rPr>
                <w:sz w:val="22"/>
                <w:szCs w:val="22"/>
              </w:rPr>
            </w:pPr>
            <w:r w:rsidRPr="00AD022B">
              <w:rPr>
                <w:sz w:val="22"/>
                <w:szCs w:val="22"/>
              </w:rPr>
              <w:t>GL1X/00002308/3</w:t>
            </w:r>
          </w:p>
        </w:tc>
      </w:tr>
      <w:tr w:rsidR="00863B86" w:rsidRPr="00AD022B" w:rsidTr="00FC40F1">
        <w:trPr>
          <w:trHeight w:val="300"/>
        </w:trPr>
        <w:tc>
          <w:tcPr>
            <w:tcW w:w="1291" w:type="dxa"/>
            <w:shd w:val="clear" w:color="auto" w:fill="auto"/>
            <w:noWrap/>
            <w:vAlign w:val="bottom"/>
            <w:hideMark/>
          </w:tcPr>
          <w:p w:rsidR="00863B86" w:rsidRPr="00AD022B" w:rsidRDefault="00863B86" w:rsidP="00FC40F1">
            <w:pPr>
              <w:jc w:val="center"/>
              <w:rPr>
                <w:sz w:val="22"/>
                <w:szCs w:val="22"/>
              </w:rPr>
            </w:pPr>
            <w:r w:rsidRPr="00AD022B">
              <w:rPr>
                <w:sz w:val="22"/>
                <w:szCs w:val="22"/>
              </w:rPr>
              <w:t>1833/151</w:t>
            </w:r>
          </w:p>
        </w:tc>
        <w:tc>
          <w:tcPr>
            <w:tcW w:w="1576" w:type="dxa"/>
            <w:shd w:val="clear" w:color="auto" w:fill="auto"/>
            <w:noWrap/>
            <w:vAlign w:val="bottom"/>
            <w:hideMark/>
          </w:tcPr>
          <w:p w:rsidR="00863B86" w:rsidRPr="00AD022B" w:rsidRDefault="00863B86" w:rsidP="00FC40F1">
            <w:pPr>
              <w:jc w:val="center"/>
              <w:rPr>
                <w:sz w:val="22"/>
                <w:szCs w:val="22"/>
              </w:rPr>
            </w:pPr>
            <w:r w:rsidRPr="00AD022B">
              <w:rPr>
                <w:sz w:val="22"/>
                <w:szCs w:val="22"/>
              </w:rPr>
              <w:t>0,1269</w:t>
            </w:r>
          </w:p>
        </w:tc>
        <w:tc>
          <w:tcPr>
            <w:tcW w:w="2127" w:type="dxa"/>
            <w:shd w:val="clear" w:color="auto" w:fill="auto"/>
            <w:noWrap/>
            <w:vAlign w:val="bottom"/>
            <w:hideMark/>
          </w:tcPr>
          <w:p w:rsidR="00863B86" w:rsidRPr="00AD022B" w:rsidRDefault="00863B86" w:rsidP="00FC40F1">
            <w:pPr>
              <w:jc w:val="center"/>
              <w:rPr>
                <w:sz w:val="22"/>
                <w:szCs w:val="22"/>
              </w:rPr>
            </w:pPr>
            <w:r w:rsidRPr="00AD022B">
              <w:rPr>
                <w:sz w:val="22"/>
                <w:szCs w:val="22"/>
              </w:rPr>
              <w:t>GL1X/00002308/3</w:t>
            </w:r>
          </w:p>
        </w:tc>
      </w:tr>
      <w:tr w:rsidR="00863B86" w:rsidRPr="00AD022B" w:rsidTr="00FC40F1">
        <w:trPr>
          <w:trHeight w:val="300"/>
        </w:trPr>
        <w:tc>
          <w:tcPr>
            <w:tcW w:w="1291" w:type="dxa"/>
            <w:shd w:val="clear" w:color="auto" w:fill="auto"/>
            <w:noWrap/>
            <w:vAlign w:val="bottom"/>
            <w:hideMark/>
          </w:tcPr>
          <w:p w:rsidR="00863B86" w:rsidRPr="00AD022B" w:rsidRDefault="00863B86" w:rsidP="00FC40F1">
            <w:pPr>
              <w:jc w:val="center"/>
              <w:rPr>
                <w:sz w:val="22"/>
                <w:szCs w:val="22"/>
              </w:rPr>
            </w:pPr>
            <w:r w:rsidRPr="00AD022B">
              <w:rPr>
                <w:sz w:val="22"/>
                <w:szCs w:val="22"/>
              </w:rPr>
              <w:t>1970/151</w:t>
            </w:r>
          </w:p>
        </w:tc>
        <w:tc>
          <w:tcPr>
            <w:tcW w:w="1576" w:type="dxa"/>
            <w:shd w:val="clear" w:color="auto" w:fill="auto"/>
            <w:noWrap/>
            <w:vAlign w:val="bottom"/>
            <w:hideMark/>
          </w:tcPr>
          <w:p w:rsidR="00863B86" w:rsidRPr="00AD022B" w:rsidRDefault="00863B86" w:rsidP="00FC40F1">
            <w:pPr>
              <w:jc w:val="center"/>
              <w:rPr>
                <w:sz w:val="22"/>
                <w:szCs w:val="22"/>
              </w:rPr>
            </w:pPr>
            <w:r w:rsidRPr="00AD022B">
              <w:rPr>
                <w:sz w:val="22"/>
                <w:szCs w:val="22"/>
              </w:rPr>
              <w:t>0,3943</w:t>
            </w:r>
          </w:p>
        </w:tc>
        <w:tc>
          <w:tcPr>
            <w:tcW w:w="2127" w:type="dxa"/>
            <w:shd w:val="clear" w:color="auto" w:fill="auto"/>
            <w:noWrap/>
            <w:vAlign w:val="bottom"/>
            <w:hideMark/>
          </w:tcPr>
          <w:p w:rsidR="00863B86" w:rsidRPr="00AD022B" w:rsidRDefault="00863B86" w:rsidP="00FC40F1">
            <w:pPr>
              <w:jc w:val="center"/>
              <w:rPr>
                <w:sz w:val="22"/>
                <w:szCs w:val="22"/>
              </w:rPr>
            </w:pPr>
            <w:r w:rsidRPr="00AD022B">
              <w:rPr>
                <w:sz w:val="22"/>
                <w:szCs w:val="22"/>
              </w:rPr>
              <w:t>GL1X/00002308/3</w:t>
            </w:r>
          </w:p>
        </w:tc>
      </w:tr>
      <w:tr w:rsidR="00863B86" w:rsidRPr="00AD022B" w:rsidTr="00FC40F1">
        <w:trPr>
          <w:trHeight w:val="300"/>
        </w:trPr>
        <w:tc>
          <w:tcPr>
            <w:tcW w:w="1291" w:type="dxa"/>
            <w:shd w:val="clear" w:color="auto" w:fill="auto"/>
            <w:noWrap/>
            <w:vAlign w:val="bottom"/>
            <w:hideMark/>
          </w:tcPr>
          <w:p w:rsidR="00863B86" w:rsidRPr="00AD022B" w:rsidRDefault="00863B86" w:rsidP="00FC40F1">
            <w:pPr>
              <w:jc w:val="center"/>
              <w:rPr>
                <w:sz w:val="22"/>
                <w:szCs w:val="22"/>
              </w:rPr>
            </w:pPr>
            <w:r w:rsidRPr="00AD022B">
              <w:rPr>
                <w:sz w:val="22"/>
                <w:szCs w:val="22"/>
              </w:rPr>
              <w:t>1968/151</w:t>
            </w:r>
          </w:p>
        </w:tc>
        <w:tc>
          <w:tcPr>
            <w:tcW w:w="1576" w:type="dxa"/>
            <w:shd w:val="clear" w:color="auto" w:fill="auto"/>
            <w:noWrap/>
            <w:vAlign w:val="bottom"/>
            <w:hideMark/>
          </w:tcPr>
          <w:p w:rsidR="00863B86" w:rsidRPr="00AD022B" w:rsidRDefault="00863B86" w:rsidP="00FC40F1">
            <w:pPr>
              <w:jc w:val="center"/>
              <w:rPr>
                <w:sz w:val="22"/>
                <w:szCs w:val="22"/>
              </w:rPr>
            </w:pPr>
            <w:r w:rsidRPr="00AD022B">
              <w:rPr>
                <w:sz w:val="22"/>
                <w:szCs w:val="22"/>
              </w:rPr>
              <w:t>1,2361</w:t>
            </w:r>
          </w:p>
        </w:tc>
        <w:tc>
          <w:tcPr>
            <w:tcW w:w="2127" w:type="dxa"/>
            <w:shd w:val="clear" w:color="auto" w:fill="auto"/>
            <w:noWrap/>
            <w:vAlign w:val="bottom"/>
            <w:hideMark/>
          </w:tcPr>
          <w:p w:rsidR="00863B86" w:rsidRPr="00AD022B" w:rsidRDefault="00863B86" w:rsidP="00FC40F1">
            <w:pPr>
              <w:jc w:val="center"/>
              <w:rPr>
                <w:sz w:val="22"/>
                <w:szCs w:val="22"/>
              </w:rPr>
            </w:pPr>
            <w:r w:rsidRPr="00AD022B">
              <w:rPr>
                <w:sz w:val="22"/>
                <w:szCs w:val="22"/>
              </w:rPr>
              <w:t>GL1X/00002308/3</w:t>
            </w:r>
          </w:p>
        </w:tc>
      </w:tr>
      <w:tr w:rsidR="00863B86" w:rsidRPr="00AD022B" w:rsidTr="00FC40F1">
        <w:trPr>
          <w:trHeight w:val="300"/>
        </w:trPr>
        <w:tc>
          <w:tcPr>
            <w:tcW w:w="1291" w:type="dxa"/>
            <w:shd w:val="clear" w:color="auto" w:fill="auto"/>
            <w:noWrap/>
            <w:vAlign w:val="bottom"/>
            <w:hideMark/>
          </w:tcPr>
          <w:p w:rsidR="00863B86" w:rsidRPr="00AD022B" w:rsidRDefault="00863B86" w:rsidP="00FC40F1">
            <w:pPr>
              <w:jc w:val="center"/>
              <w:rPr>
                <w:sz w:val="22"/>
                <w:szCs w:val="22"/>
              </w:rPr>
            </w:pPr>
            <w:r w:rsidRPr="00AD022B">
              <w:rPr>
                <w:sz w:val="22"/>
                <w:szCs w:val="22"/>
              </w:rPr>
              <w:t>1969/151</w:t>
            </w:r>
          </w:p>
        </w:tc>
        <w:tc>
          <w:tcPr>
            <w:tcW w:w="1576" w:type="dxa"/>
            <w:shd w:val="clear" w:color="auto" w:fill="auto"/>
            <w:noWrap/>
            <w:vAlign w:val="bottom"/>
            <w:hideMark/>
          </w:tcPr>
          <w:p w:rsidR="00863B86" w:rsidRPr="00AD022B" w:rsidRDefault="00863B86" w:rsidP="00FC40F1">
            <w:pPr>
              <w:jc w:val="center"/>
              <w:rPr>
                <w:sz w:val="22"/>
                <w:szCs w:val="22"/>
              </w:rPr>
            </w:pPr>
            <w:r w:rsidRPr="00AD022B">
              <w:rPr>
                <w:sz w:val="22"/>
                <w:szCs w:val="22"/>
              </w:rPr>
              <w:t>0,1696</w:t>
            </w:r>
          </w:p>
        </w:tc>
        <w:tc>
          <w:tcPr>
            <w:tcW w:w="2127" w:type="dxa"/>
            <w:shd w:val="clear" w:color="auto" w:fill="auto"/>
            <w:noWrap/>
            <w:vAlign w:val="bottom"/>
            <w:hideMark/>
          </w:tcPr>
          <w:p w:rsidR="00863B86" w:rsidRPr="00AD022B" w:rsidRDefault="00863B86" w:rsidP="00FC40F1">
            <w:pPr>
              <w:jc w:val="center"/>
              <w:rPr>
                <w:sz w:val="22"/>
                <w:szCs w:val="22"/>
              </w:rPr>
            </w:pPr>
            <w:r w:rsidRPr="00AD022B">
              <w:rPr>
                <w:sz w:val="22"/>
                <w:szCs w:val="22"/>
              </w:rPr>
              <w:t>GL1X/00002308/3</w:t>
            </w:r>
          </w:p>
        </w:tc>
      </w:tr>
      <w:tr w:rsidR="00863B86" w:rsidRPr="00AD022B" w:rsidTr="00FC40F1">
        <w:trPr>
          <w:trHeight w:val="300"/>
        </w:trPr>
        <w:tc>
          <w:tcPr>
            <w:tcW w:w="1291" w:type="dxa"/>
            <w:shd w:val="clear" w:color="auto" w:fill="auto"/>
            <w:noWrap/>
            <w:vAlign w:val="bottom"/>
            <w:hideMark/>
          </w:tcPr>
          <w:p w:rsidR="00863B86" w:rsidRPr="00AD022B" w:rsidRDefault="00863B86" w:rsidP="00FC40F1">
            <w:pPr>
              <w:jc w:val="center"/>
              <w:rPr>
                <w:sz w:val="22"/>
                <w:szCs w:val="22"/>
              </w:rPr>
            </w:pPr>
            <w:r w:rsidRPr="00AD022B">
              <w:rPr>
                <w:sz w:val="22"/>
                <w:szCs w:val="22"/>
              </w:rPr>
              <w:t>695/151</w:t>
            </w:r>
          </w:p>
        </w:tc>
        <w:tc>
          <w:tcPr>
            <w:tcW w:w="1576" w:type="dxa"/>
            <w:shd w:val="clear" w:color="auto" w:fill="auto"/>
            <w:noWrap/>
            <w:vAlign w:val="bottom"/>
            <w:hideMark/>
          </w:tcPr>
          <w:p w:rsidR="00863B86" w:rsidRPr="00AD022B" w:rsidRDefault="00863B86" w:rsidP="00FC40F1">
            <w:pPr>
              <w:jc w:val="center"/>
              <w:rPr>
                <w:sz w:val="22"/>
                <w:szCs w:val="22"/>
              </w:rPr>
            </w:pPr>
            <w:r w:rsidRPr="00AD022B">
              <w:rPr>
                <w:sz w:val="22"/>
                <w:szCs w:val="22"/>
              </w:rPr>
              <w:t>0,5351</w:t>
            </w:r>
          </w:p>
        </w:tc>
        <w:tc>
          <w:tcPr>
            <w:tcW w:w="2127" w:type="dxa"/>
            <w:shd w:val="clear" w:color="auto" w:fill="auto"/>
            <w:noWrap/>
            <w:vAlign w:val="bottom"/>
            <w:hideMark/>
          </w:tcPr>
          <w:p w:rsidR="00863B86" w:rsidRPr="00AD022B" w:rsidRDefault="00863B86" w:rsidP="00FC40F1">
            <w:pPr>
              <w:jc w:val="center"/>
              <w:rPr>
                <w:sz w:val="22"/>
                <w:szCs w:val="22"/>
              </w:rPr>
            </w:pPr>
            <w:r w:rsidRPr="00AD022B">
              <w:rPr>
                <w:sz w:val="22"/>
                <w:szCs w:val="22"/>
              </w:rPr>
              <w:t>GL1X/00002736/2</w:t>
            </w:r>
          </w:p>
        </w:tc>
      </w:tr>
      <w:tr w:rsidR="00863B86" w:rsidRPr="00AD022B" w:rsidTr="00FC40F1">
        <w:trPr>
          <w:trHeight w:val="300"/>
        </w:trPr>
        <w:tc>
          <w:tcPr>
            <w:tcW w:w="1291" w:type="dxa"/>
            <w:shd w:val="clear" w:color="auto" w:fill="auto"/>
            <w:noWrap/>
            <w:vAlign w:val="bottom"/>
            <w:hideMark/>
          </w:tcPr>
          <w:p w:rsidR="00863B86" w:rsidRPr="00AD022B" w:rsidRDefault="00863B86" w:rsidP="00FC40F1">
            <w:pPr>
              <w:jc w:val="center"/>
              <w:rPr>
                <w:sz w:val="22"/>
                <w:szCs w:val="22"/>
              </w:rPr>
            </w:pPr>
            <w:r w:rsidRPr="00AD022B">
              <w:rPr>
                <w:sz w:val="22"/>
                <w:szCs w:val="22"/>
              </w:rPr>
              <w:t>1824/151</w:t>
            </w:r>
          </w:p>
        </w:tc>
        <w:tc>
          <w:tcPr>
            <w:tcW w:w="1576" w:type="dxa"/>
            <w:shd w:val="clear" w:color="auto" w:fill="auto"/>
            <w:noWrap/>
            <w:vAlign w:val="bottom"/>
            <w:hideMark/>
          </w:tcPr>
          <w:p w:rsidR="00863B86" w:rsidRPr="00AD022B" w:rsidRDefault="00863B86" w:rsidP="00FC40F1">
            <w:pPr>
              <w:jc w:val="center"/>
              <w:rPr>
                <w:sz w:val="22"/>
                <w:szCs w:val="22"/>
              </w:rPr>
            </w:pPr>
            <w:r w:rsidRPr="00AD022B">
              <w:rPr>
                <w:sz w:val="22"/>
                <w:szCs w:val="22"/>
              </w:rPr>
              <w:t>0,0836</w:t>
            </w:r>
          </w:p>
        </w:tc>
        <w:tc>
          <w:tcPr>
            <w:tcW w:w="2127" w:type="dxa"/>
            <w:shd w:val="clear" w:color="auto" w:fill="auto"/>
            <w:noWrap/>
            <w:vAlign w:val="bottom"/>
            <w:hideMark/>
          </w:tcPr>
          <w:p w:rsidR="00863B86" w:rsidRPr="00AD022B" w:rsidRDefault="00863B86" w:rsidP="00FC40F1">
            <w:pPr>
              <w:jc w:val="center"/>
              <w:rPr>
                <w:sz w:val="22"/>
                <w:szCs w:val="22"/>
              </w:rPr>
            </w:pPr>
            <w:r w:rsidRPr="00AD022B">
              <w:rPr>
                <w:sz w:val="22"/>
                <w:szCs w:val="22"/>
              </w:rPr>
              <w:t>GL1X/00002308/3</w:t>
            </w:r>
          </w:p>
        </w:tc>
      </w:tr>
      <w:tr w:rsidR="00863B86" w:rsidRPr="00AD022B" w:rsidTr="00FC40F1">
        <w:trPr>
          <w:trHeight w:val="300"/>
        </w:trPr>
        <w:tc>
          <w:tcPr>
            <w:tcW w:w="1291" w:type="dxa"/>
            <w:shd w:val="clear" w:color="auto" w:fill="auto"/>
            <w:noWrap/>
            <w:vAlign w:val="bottom"/>
            <w:hideMark/>
          </w:tcPr>
          <w:p w:rsidR="00863B86" w:rsidRPr="00AD022B" w:rsidRDefault="00863B86" w:rsidP="00FC40F1">
            <w:pPr>
              <w:jc w:val="center"/>
              <w:rPr>
                <w:sz w:val="22"/>
                <w:szCs w:val="22"/>
              </w:rPr>
            </w:pPr>
            <w:r w:rsidRPr="00AD022B">
              <w:rPr>
                <w:sz w:val="22"/>
                <w:szCs w:val="22"/>
              </w:rPr>
              <w:t>1822/151</w:t>
            </w:r>
          </w:p>
        </w:tc>
        <w:tc>
          <w:tcPr>
            <w:tcW w:w="1576" w:type="dxa"/>
            <w:shd w:val="clear" w:color="auto" w:fill="auto"/>
            <w:noWrap/>
            <w:vAlign w:val="bottom"/>
          </w:tcPr>
          <w:p w:rsidR="00863B86" w:rsidRPr="00AD022B" w:rsidRDefault="00863B86" w:rsidP="00FC40F1">
            <w:pPr>
              <w:jc w:val="center"/>
              <w:rPr>
                <w:sz w:val="22"/>
                <w:szCs w:val="22"/>
              </w:rPr>
            </w:pPr>
            <w:r w:rsidRPr="00AD022B">
              <w:rPr>
                <w:sz w:val="22"/>
                <w:szCs w:val="22"/>
              </w:rPr>
              <w:t>0,0999</w:t>
            </w:r>
          </w:p>
        </w:tc>
        <w:tc>
          <w:tcPr>
            <w:tcW w:w="2127" w:type="dxa"/>
            <w:shd w:val="clear" w:color="auto" w:fill="auto"/>
            <w:noWrap/>
            <w:vAlign w:val="bottom"/>
          </w:tcPr>
          <w:p w:rsidR="00863B86" w:rsidRPr="00AD022B" w:rsidRDefault="00863B86" w:rsidP="00FC40F1">
            <w:pPr>
              <w:jc w:val="center"/>
              <w:rPr>
                <w:sz w:val="22"/>
                <w:szCs w:val="22"/>
              </w:rPr>
            </w:pPr>
            <w:r w:rsidRPr="00AD022B">
              <w:rPr>
                <w:sz w:val="22"/>
                <w:szCs w:val="22"/>
              </w:rPr>
              <w:t>GL1X/00002308/3</w:t>
            </w:r>
          </w:p>
        </w:tc>
      </w:tr>
      <w:tr w:rsidR="00863B86" w:rsidRPr="00AD022B" w:rsidTr="00FC40F1">
        <w:trPr>
          <w:trHeight w:val="300"/>
        </w:trPr>
        <w:tc>
          <w:tcPr>
            <w:tcW w:w="1291" w:type="dxa"/>
            <w:shd w:val="clear" w:color="auto" w:fill="auto"/>
            <w:noWrap/>
            <w:vAlign w:val="bottom"/>
            <w:hideMark/>
          </w:tcPr>
          <w:p w:rsidR="00863B86" w:rsidRPr="00AD022B" w:rsidRDefault="00863B86" w:rsidP="00FC40F1">
            <w:pPr>
              <w:jc w:val="center"/>
              <w:rPr>
                <w:sz w:val="22"/>
                <w:szCs w:val="22"/>
              </w:rPr>
            </w:pPr>
            <w:r w:rsidRPr="00AD022B">
              <w:rPr>
                <w:sz w:val="22"/>
                <w:szCs w:val="22"/>
              </w:rPr>
              <w:t>1871/132</w:t>
            </w:r>
          </w:p>
        </w:tc>
        <w:tc>
          <w:tcPr>
            <w:tcW w:w="1576" w:type="dxa"/>
            <w:shd w:val="clear" w:color="auto" w:fill="auto"/>
            <w:noWrap/>
            <w:vAlign w:val="bottom"/>
            <w:hideMark/>
          </w:tcPr>
          <w:p w:rsidR="00863B86" w:rsidRPr="00AD022B" w:rsidRDefault="00863B86" w:rsidP="00FC40F1">
            <w:pPr>
              <w:jc w:val="center"/>
              <w:rPr>
                <w:sz w:val="22"/>
                <w:szCs w:val="22"/>
              </w:rPr>
            </w:pPr>
            <w:r w:rsidRPr="00AD022B">
              <w:rPr>
                <w:sz w:val="22"/>
                <w:szCs w:val="22"/>
              </w:rPr>
              <w:t>0,0520</w:t>
            </w:r>
          </w:p>
        </w:tc>
        <w:tc>
          <w:tcPr>
            <w:tcW w:w="2127" w:type="dxa"/>
            <w:shd w:val="clear" w:color="auto" w:fill="auto"/>
            <w:noWrap/>
            <w:vAlign w:val="bottom"/>
            <w:hideMark/>
          </w:tcPr>
          <w:p w:rsidR="00863B86" w:rsidRPr="00AD022B" w:rsidRDefault="00863B86" w:rsidP="00FC40F1">
            <w:pPr>
              <w:jc w:val="center"/>
              <w:rPr>
                <w:sz w:val="22"/>
                <w:szCs w:val="22"/>
              </w:rPr>
            </w:pPr>
            <w:r w:rsidRPr="00AD022B">
              <w:rPr>
                <w:sz w:val="22"/>
                <w:szCs w:val="22"/>
              </w:rPr>
              <w:t>GL1X/00002308/3</w:t>
            </w:r>
          </w:p>
        </w:tc>
      </w:tr>
      <w:tr w:rsidR="00863B86" w:rsidRPr="00AD022B" w:rsidTr="00FC40F1">
        <w:trPr>
          <w:trHeight w:val="300"/>
        </w:trPr>
        <w:tc>
          <w:tcPr>
            <w:tcW w:w="1291" w:type="dxa"/>
            <w:shd w:val="clear" w:color="auto" w:fill="auto"/>
            <w:noWrap/>
            <w:vAlign w:val="bottom"/>
            <w:hideMark/>
          </w:tcPr>
          <w:p w:rsidR="00863B86" w:rsidRPr="00AD022B" w:rsidRDefault="00863B86" w:rsidP="00FC40F1">
            <w:pPr>
              <w:jc w:val="center"/>
              <w:rPr>
                <w:sz w:val="22"/>
                <w:szCs w:val="22"/>
              </w:rPr>
            </w:pPr>
            <w:r w:rsidRPr="00AD022B">
              <w:rPr>
                <w:sz w:val="22"/>
                <w:szCs w:val="22"/>
              </w:rPr>
              <w:t>1873/151</w:t>
            </w:r>
          </w:p>
        </w:tc>
        <w:tc>
          <w:tcPr>
            <w:tcW w:w="1576" w:type="dxa"/>
            <w:shd w:val="clear" w:color="auto" w:fill="auto"/>
            <w:noWrap/>
            <w:vAlign w:val="bottom"/>
            <w:hideMark/>
          </w:tcPr>
          <w:p w:rsidR="00863B86" w:rsidRPr="00AD022B" w:rsidRDefault="00863B86" w:rsidP="00FC40F1">
            <w:pPr>
              <w:jc w:val="center"/>
              <w:rPr>
                <w:sz w:val="22"/>
                <w:szCs w:val="22"/>
              </w:rPr>
            </w:pPr>
            <w:r w:rsidRPr="00AD022B">
              <w:rPr>
                <w:sz w:val="22"/>
                <w:szCs w:val="22"/>
              </w:rPr>
              <w:t>0,0</w:t>
            </w:r>
            <w:r>
              <w:rPr>
                <w:sz w:val="22"/>
                <w:szCs w:val="22"/>
              </w:rPr>
              <w:t>0</w:t>
            </w:r>
            <w:r w:rsidRPr="00AD022B">
              <w:rPr>
                <w:sz w:val="22"/>
                <w:szCs w:val="22"/>
              </w:rPr>
              <w:t>37</w:t>
            </w:r>
          </w:p>
        </w:tc>
        <w:tc>
          <w:tcPr>
            <w:tcW w:w="2127" w:type="dxa"/>
            <w:shd w:val="clear" w:color="auto" w:fill="auto"/>
            <w:noWrap/>
            <w:vAlign w:val="bottom"/>
            <w:hideMark/>
          </w:tcPr>
          <w:p w:rsidR="00863B86" w:rsidRPr="00AD022B" w:rsidRDefault="00863B86" w:rsidP="00FC40F1">
            <w:pPr>
              <w:jc w:val="center"/>
              <w:rPr>
                <w:sz w:val="22"/>
                <w:szCs w:val="22"/>
              </w:rPr>
            </w:pPr>
            <w:r w:rsidRPr="00AD022B">
              <w:rPr>
                <w:sz w:val="22"/>
                <w:szCs w:val="22"/>
              </w:rPr>
              <w:t>GL1X/00002308/3</w:t>
            </w:r>
          </w:p>
        </w:tc>
      </w:tr>
    </w:tbl>
    <w:p w:rsidR="00F63DDC" w:rsidRDefault="00F63DDC" w:rsidP="00F63DDC"/>
    <w:p w:rsidR="00863B86" w:rsidRDefault="00863B86"/>
    <w:p w:rsidR="00F63DDC" w:rsidRDefault="00F63DDC" w:rsidP="00F63DDC">
      <w:pPr>
        <w:jc w:val="both"/>
        <w:rPr>
          <w:bCs/>
          <w:lang w:val="en-US"/>
        </w:rPr>
      </w:pPr>
      <w:r>
        <w:rPr>
          <w:bCs/>
          <w:lang w:val="en-US"/>
        </w:rPr>
        <w:t xml:space="preserve">Land registers for the above plots are held in the District Court in </w:t>
      </w:r>
      <w:proofErr w:type="spellStart"/>
      <w:r>
        <w:rPr>
          <w:bCs/>
          <w:lang w:val="en-US"/>
        </w:rPr>
        <w:t>Żory</w:t>
      </w:r>
      <w:proofErr w:type="spellEnd"/>
      <w:r>
        <w:rPr>
          <w:bCs/>
          <w:lang w:val="en-US"/>
        </w:rPr>
        <w:t xml:space="preserve">, Department V for Land Registers and Katowice Special Economic Zone Co. has an ownership right. </w:t>
      </w:r>
    </w:p>
    <w:p w:rsidR="00F63DDC" w:rsidRDefault="00F63DDC" w:rsidP="00F63DDC">
      <w:pPr>
        <w:jc w:val="both"/>
        <w:rPr>
          <w:bCs/>
          <w:lang w:val="en-US"/>
        </w:rPr>
      </w:pPr>
      <w:r>
        <w:rPr>
          <w:bCs/>
          <w:lang w:val="en-US"/>
        </w:rPr>
        <w:t xml:space="preserve">The property is not encumbered with the limited right in property and is not a subject of any liabilities. </w:t>
      </w:r>
    </w:p>
    <w:p w:rsidR="00F63DDC" w:rsidRDefault="00F63DDC" w:rsidP="00F63DDC">
      <w:pPr>
        <w:jc w:val="both"/>
        <w:rPr>
          <w:bCs/>
          <w:lang w:val="en-US"/>
        </w:rPr>
      </w:pPr>
      <w:r>
        <w:rPr>
          <w:bCs/>
          <w:lang w:val="en-US"/>
        </w:rPr>
        <w:t xml:space="preserve">The property is destined for production purposes. </w:t>
      </w:r>
    </w:p>
    <w:p w:rsidR="0005682F" w:rsidRDefault="0005682F" w:rsidP="00F63DDC">
      <w:pPr>
        <w:jc w:val="both"/>
        <w:rPr>
          <w:bCs/>
          <w:lang w:val="en-US"/>
        </w:rPr>
      </w:pPr>
    </w:p>
    <w:p w:rsidR="0005682F" w:rsidRDefault="0005682F" w:rsidP="00F63DDC">
      <w:pPr>
        <w:jc w:val="both"/>
        <w:rPr>
          <w:bCs/>
          <w:lang w:val="en-US"/>
        </w:rPr>
      </w:pPr>
    </w:p>
    <w:p w:rsidR="0058212B" w:rsidRDefault="0058212B" w:rsidP="0058212B">
      <w:pPr>
        <w:jc w:val="both"/>
        <w:rPr>
          <w:bCs/>
          <w:lang w:val="en-US"/>
        </w:rPr>
      </w:pPr>
      <w:r>
        <w:rPr>
          <w:b/>
          <w:bCs/>
          <w:color w:val="000000"/>
          <w:lang w:val="en-US"/>
        </w:rPr>
        <w:lastRenderedPageBreak/>
        <w:t>The calling gro</w:t>
      </w:r>
      <w:r>
        <w:rPr>
          <w:b/>
          <w:bCs/>
          <w:color w:val="000000"/>
          <w:lang w:val="en-US"/>
        </w:rPr>
        <w:t xml:space="preserve">ss price of the property is PLN </w:t>
      </w:r>
      <w:r w:rsidRPr="007F5FA3">
        <w:rPr>
          <w:b/>
          <w:bCs/>
        </w:rPr>
        <w:t>4</w:t>
      </w:r>
      <w:r>
        <w:rPr>
          <w:b/>
          <w:bCs/>
        </w:rPr>
        <w:t>.</w:t>
      </w:r>
      <w:r w:rsidRPr="007F5FA3">
        <w:rPr>
          <w:b/>
          <w:bCs/>
        </w:rPr>
        <w:t>908</w:t>
      </w:r>
      <w:r>
        <w:rPr>
          <w:b/>
          <w:bCs/>
        </w:rPr>
        <w:t>.</w:t>
      </w:r>
      <w:r w:rsidRPr="007F5FA3">
        <w:rPr>
          <w:b/>
          <w:bCs/>
        </w:rPr>
        <w:t>061,62</w:t>
      </w:r>
      <w:r>
        <w:t> </w:t>
      </w:r>
      <w:r>
        <w:rPr>
          <w:b/>
          <w:lang w:val="en-US"/>
        </w:rPr>
        <w:t xml:space="preserve"> </w:t>
      </w:r>
      <w:r>
        <w:rPr>
          <w:color w:val="000000"/>
          <w:lang w:val="en-US"/>
        </w:rPr>
        <w:t xml:space="preserve"> </w:t>
      </w:r>
      <w:r>
        <w:rPr>
          <w:bCs/>
          <w:lang w:val="en-US"/>
        </w:rPr>
        <w:t xml:space="preserve"> </w:t>
      </w:r>
      <w:r>
        <w:rPr>
          <w:lang w:val="en-US"/>
        </w:rPr>
        <w:t>(in words: PLN four million nine hundred and eight thousand and sixty one  62</w:t>
      </w:r>
      <w:r>
        <w:rPr>
          <w:bCs/>
          <w:lang w:val="en-US"/>
        </w:rPr>
        <w:t>/100). The price is inclusive of 23% VAT tax.</w:t>
      </w:r>
    </w:p>
    <w:p w:rsidR="0058212B" w:rsidRDefault="0058212B" w:rsidP="0058212B">
      <w:pPr>
        <w:jc w:val="both"/>
        <w:rPr>
          <w:bCs/>
          <w:lang w:val="en-US"/>
        </w:rPr>
      </w:pPr>
    </w:p>
    <w:p w:rsidR="0005682F" w:rsidRPr="0008713C" w:rsidRDefault="0058212B" w:rsidP="00F63DDC">
      <w:pPr>
        <w:jc w:val="both"/>
        <w:rPr>
          <w:lang w:val="en-US"/>
        </w:rPr>
      </w:pPr>
      <w:r>
        <w:rPr>
          <w:lang w:val="en-US"/>
        </w:rPr>
        <w:t xml:space="preserve">The tenderer is obliged to submit the tender guarantee in the amount of </w:t>
      </w:r>
      <w:r>
        <w:rPr>
          <w:b/>
          <w:bCs/>
          <w:lang w:val="en-US"/>
        </w:rPr>
        <w:t xml:space="preserve">PLN </w:t>
      </w:r>
      <w:r>
        <w:rPr>
          <w:b/>
          <w:bCs/>
          <w:lang w:val="en-US"/>
        </w:rPr>
        <w:t xml:space="preserve"> </w:t>
      </w:r>
      <w:r>
        <w:rPr>
          <w:b/>
          <w:bCs/>
        </w:rPr>
        <w:t xml:space="preserve">736.209,24 </w:t>
      </w:r>
      <w:r>
        <w:rPr>
          <w:lang w:val="en-US"/>
        </w:rPr>
        <w:t xml:space="preserve"> </w:t>
      </w:r>
      <w:r>
        <w:rPr>
          <w:b/>
          <w:bCs/>
          <w:lang w:val="en-US"/>
        </w:rPr>
        <w:t xml:space="preserve"> (in words: PLN seven</w:t>
      </w:r>
      <w:r>
        <w:rPr>
          <w:b/>
          <w:bCs/>
          <w:lang w:val="en-US"/>
        </w:rPr>
        <w:t xml:space="preserve"> hundred and</w:t>
      </w:r>
      <w:r>
        <w:rPr>
          <w:b/>
          <w:bCs/>
          <w:lang w:val="en-US"/>
        </w:rPr>
        <w:t xml:space="preserve"> thirty six thousand two hundred and nine</w:t>
      </w:r>
      <w:r>
        <w:rPr>
          <w:b/>
          <w:bCs/>
          <w:lang w:val="en-US"/>
        </w:rPr>
        <w:t xml:space="preserve"> </w:t>
      </w:r>
      <w:r>
        <w:rPr>
          <w:b/>
          <w:bCs/>
          <w:lang w:val="en-US"/>
        </w:rPr>
        <w:t>24</w:t>
      </w:r>
      <w:r>
        <w:rPr>
          <w:b/>
          <w:bCs/>
          <w:lang w:val="en-US"/>
        </w:rPr>
        <w:t>/100</w:t>
      </w:r>
      <w:r>
        <w:rPr>
          <w:lang w:val="en-US"/>
        </w:rPr>
        <w:t>) to be transferred to the KSEZ Co.  bank account (Deutsche Bank PBC S.A. 09 1910 1048 2501 9911 2936 0001) ti</w:t>
      </w:r>
      <w:r>
        <w:rPr>
          <w:lang w:val="en-US"/>
        </w:rPr>
        <w:t>ll 11.11.2016</w:t>
      </w:r>
    </w:p>
    <w:p w:rsidR="0008713C" w:rsidRDefault="0008713C" w:rsidP="00185E04">
      <w:pPr>
        <w:spacing w:before="120"/>
        <w:jc w:val="both"/>
        <w:rPr>
          <w:b/>
          <w:lang w:val="en-US"/>
        </w:rPr>
      </w:pPr>
    </w:p>
    <w:p w:rsidR="00185E04" w:rsidRDefault="00185E04" w:rsidP="00185E04">
      <w:pPr>
        <w:spacing w:before="120"/>
        <w:jc w:val="both"/>
        <w:rPr>
          <w:b/>
          <w:lang w:val="en-US"/>
        </w:rPr>
      </w:pPr>
      <w:r>
        <w:rPr>
          <w:b/>
          <w:lang w:val="en-US"/>
        </w:rPr>
        <w:t xml:space="preserve">The above mentioned tender to sale the property an issue the permit </w:t>
      </w:r>
      <w:r>
        <w:rPr>
          <w:b/>
          <w:lang w:val="en-US"/>
        </w:rPr>
        <w:t>will be held on November 14</w:t>
      </w:r>
      <w:r>
        <w:rPr>
          <w:b/>
          <w:vertAlign w:val="superscript"/>
          <w:lang w:val="en-US"/>
        </w:rPr>
        <w:t>th</w:t>
      </w:r>
      <w:r>
        <w:rPr>
          <w:b/>
          <w:lang w:val="en-US"/>
        </w:rPr>
        <w:t xml:space="preserve"> 2016, at 10</w:t>
      </w:r>
      <w:r>
        <w:rPr>
          <w:b/>
          <w:lang w:val="en-US"/>
        </w:rPr>
        <w:t xml:space="preserve">.00 a.m. in the headquarters of the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S.A., 42 </w:t>
      </w:r>
      <w:proofErr w:type="spellStart"/>
      <w:r>
        <w:rPr>
          <w:b/>
          <w:lang w:val="en-US"/>
        </w:rPr>
        <w:t>Wojewódzka</w:t>
      </w:r>
      <w:proofErr w:type="spellEnd"/>
      <w:r>
        <w:rPr>
          <w:b/>
          <w:lang w:val="en-US"/>
        </w:rPr>
        <w:t>, Katowice.</w:t>
      </w:r>
    </w:p>
    <w:p w:rsidR="00185E04" w:rsidRDefault="00185E04" w:rsidP="00185E04">
      <w:pPr>
        <w:spacing w:before="120"/>
        <w:jc w:val="both"/>
        <w:rPr>
          <w:b/>
          <w:lang w:val="en-US"/>
        </w:rPr>
      </w:pPr>
    </w:p>
    <w:p w:rsidR="00185E04" w:rsidRDefault="00185E04" w:rsidP="00185E04">
      <w:pPr>
        <w:jc w:val="both"/>
        <w:rPr>
          <w:lang w:val="en-US"/>
        </w:rPr>
      </w:pPr>
      <w:r>
        <w:rPr>
          <w:lang w:val="en-US"/>
        </w:rPr>
        <w:t xml:space="preserve">Participation in the tender is conditioned by the purchase of the “Specification of the essential conditions of the tender”, payment of the tender guarantee within the time specified above and submitting the written offer along with the conditions included in “Specification of essential conditions of the negotiations”, </w:t>
      </w:r>
      <w:r>
        <w:rPr>
          <w:b/>
          <w:bCs/>
          <w:lang w:val="en-US"/>
        </w:rPr>
        <w:t>by November 14</w:t>
      </w:r>
      <w:r>
        <w:rPr>
          <w:b/>
          <w:bCs/>
          <w:vertAlign w:val="superscript"/>
          <w:lang w:val="en-US"/>
        </w:rPr>
        <w:t>th</w:t>
      </w:r>
      <w:r w:rsidR="0008713C">
        <w:rPr>
          <w:b/>
          <w:bCs/>
          <w:lang w:val="en-US"/>
        </w:rPr>
        <w:t xml:space="preserve"> 2016</w:t>
      </w:r>
      <w:r>
        <w:rPr>
          <w:b/>
          <w:bCs/>
          <w:lang w:val="en-US"/>
        </w:rPr>
        <w:t>, 9</w:t>
      </w:r>
      <w:r>
        <w:rPr>
          <w:b/>
          <w:bCs/>
          <w:lang w:val="en-US"/>
        </w:rPr>
        <w:t xml:space="preserve">.30 AM, </w:t>
      </w:r>
      <w:r>
        <w:rPr>
          <w:lang w:val="en-US"/>
        </w:rPr>
        <w:t>in the seat of the negotiations manager.</w:t>
      </w:r>
    </w:p>
    <w:p w:rsidR="00185E04" w:rsidRDefault="00185E04" w:rsidP="00F63DDC">
      <w:pPr>
        <w:jc w:val="both"/>
        <w:rPr>
          <w:bCs/>
          <w:lang w:val="en-US"/>
        </w:rPr>
      </w:pPr>
    </w:p>
    <w:p w:rsidR="0008713C" w:rsidRDefault="0008713C" w:rsidP="0008713C">
      <w:pPr>
        <w:jc w:val="both"/>
        <w:rPr>
          <w:lang w:val="en-US"/>
        </w:rPr>
      </w:pPr>
      <w:r>
        <w:rPr>
          <w:lang w:val="en-US"/>
        </w:rPr>
        <w:t xml:space="preserve">The offer should include, </w:t>
      </w:r>
      <w:proofErr w:type="spellStart"/>
      <w:r>
        <w:rPr>
          <w:lang w:val="en-US"/>
        </w:rPr>
        <w:t>ia.</w:t>
      </w:r>
      <w:proofErr w:type="spellEnd"/>
    </w:p>
    <w:p w:rsidR="0008713C" w:rsidRDefault="0008713C" w:rsidP="0008713C">
      <w:pPr>
        <w:numPr>
          <w:ilvl w:val="0"/>
          <w:numId w:val="1"/>
        </w:numPr>
        <w:spacing w:before="120"/>
        <w:rPr>
          <w:lang w:val="en-US"/>
        </w:rPr>
      </w:pPr>
      <w:r>
        <w:rPr>
          <w:lang w:val="en-US"/>
        </w:rPr>
        <w:t>name and surname of the tenderer (name of the institution and the seat)</w:t>
      </w:r>
    </w:p>
    <w:p w:rsidR="0008713C" w:rsidRDefault="0008713C" w:rsidP="0008713C">
      <w:pPr>
        <w:numPr>
          <w:ilvl w:val="0"/>
          <w:numId w:val="1"/>
        </w:numPr>
        <w:spacing w:before="120"/>
        <w:rPr>
          <w:lang w:val="en-US"/>
        </w:rPr>
      </w:pPr>
      <w:r>
        <w:rPr>
          <w:lang w:val="en-US"/>
        </w:rPr>
        <w:t>date of the preparation of the offer</w:t>
      </w:r>
    </w:p>
    <w:p w:rsidR="0008713C" w:rsidRDefault="0008713C" w:rsidP="0008713C">
      <w:pPr>
        <w:numPr>
          <w:ilvl w:val="0"/>
          <w:numId w:val="1"/>
        </w:numPr>
        <w:spacing w:before="120"/>
        <w:rPr>
          <w:lang w:val="en-US"/>
        </w:rPr>
      </w:pPr>
      <w:r>
        <w:rPr>
          <w:lang w:val="en-US"/>
        </w:rPr>
        <w:t xml:space="preserve">statement declaring that the </w:t>
      </w:r>
      <w:proofErr w:type="spellStart"/>
      <w:r>
        <w:rPr>
          <w:lang w:val="en-US"/>
        </w:rPr>
        <w:t>offerer</w:t>
      </w:r>
      <w:proofErr w:type="spellEnd"/>
      <w:r>
        <w:rPr>
          <w:lang w:val="en-US"/>
        </w:rPr>
        <w:t xml:space="preserve"> has read and understood the tender conditions, status of the property and the specification, and accepts it with no reservations</w:t>
      </w:r>
    </w:p>
    <w:p w:rsidR="0008713C" w:rsidRDefault="0008713C" w:rsidP="0008713C">
      <w:pPr>
        <w:numPr>
          <w:ilvl w:val="0"/>
          <w:numId w:val="1"/>
        </w:numPr>
        <w:spacing w:before="120"/>
        <w:rPr>
          <w:lang w:val="en-US"/>
        </w:rPr>
      </w:pPr>
      <w:r>
        <w:rPr>
          <w:lang w:val="en-US"/>
        </w:rPr>
        <w:t>offered price and the method of payment</w:t>
      </w:r>
    </w:p>
    <w:p w:rsidR="0008713C" w:rsidRDefault="0008713C" w:rsidP="0008713C">
      <w:pPr>
        <w:numPr>
          <w:ilvl w:val="0"/>
          <w:numId w:val="1"/>
        </w:numPr>
        <w:spacing w:before="120"/>
        <w:rPr>
          <w:lang w:val="en-US"/>
        </w:rPr>
      </w:pPr>
      <w:r>
        <w:rPr>
          <w:lang w:val="en-US"/>
        </w:rPr>
        <w:t>concept for the property development</w:t>
      </w:r>
    </w:p>
    <w:p w:rsidR="0008713C" w:rsidRDefault="0008713C" w:rsidP="0008713C">
      <w:pPr>
        <w:numPr>
          <w:ilvl w:val="0"/>
          <w:numId w:val="1"/>
        </w:numPr>
        <w:spacing w:before="120"/>
        <w:rPr>
          <w:lang w:val="en-US"/>
        </w:rPr>
      </w:pPr>
      <w:r>
        <w:rPr>
          <w:lang w:val="en-US"/>
        </w:rPr>
        <w:t>the power of attorney, if applicable</w:t>
      </w:r>
    </w:p>
    <w:p w:rsidR="0008713C" w:rsidRDefault="0008713C" w:rsidP="0008713C">
      <w:pPr>
        <w:spacing w:before="120"/>
        <w:jc w:val="both"/>
        <w:rPr>
          <w:b/>
          <w:lang w:val="en-US"/>
        </w:rPr>
      </w:pPr>
    </w:p>
    <w:p w:rsidR="0008713C" w:rsidRDefault="0008713C" w:rsidP="0008713C">
      <w:pPr>
        <w:jc w:val="both"/>
        <w:rPr>
          <w:bCs/>
          <w:lang w:val="en-US"/>
        </w:rPr>
      </w:pPr>
    </w:p>
    <w:p w:rsidR="0008713C" w:rsidRDefault="0008713C" w:rsidP="0008713C">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w:t>
      </w:r>
      <w:r>
        <w:rPr>
          <w:lang w:val="en-US"/>
        </w:rPr>
        <w:t xml:space="preserve">The price is 10 000 PLN + VAT payable to the bank account of the KSEZ Co. </w:t>
      </w:r>
      <w:r>
        <w:rPr>
          <w:lang w:val="en-US"/>
        </w:rPr>
        <w:t>(Deutsche Bank PBC S.A. 09 1910 1048 2501 9911 2936 0001)</w:t>
      </w:r>
      <w:bookmarkStart w:id="0" w:name="_GoBack"/>
      <w:bookmarkEnd w:id="0"/>
    </w:p>
    <w:p w:rsidR="0008713C" w:rsidRDefault="0008713C" w:rsidP="0008713C">
      <w:pPr>
        <w:jc w:val="both"/>
        <w:rPr>
          <w:b/>
          <w:bCs/>
          <w:lang w:val="en-US"/>
        </w:rPr>
      </w:pPr>
    </w:p>
    <w:p w:rsidR="0008713C" w:rsidRDefault="0008713C" w:rsidP="0008713C">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08713C" w:rsidRDefault="0008713C" w:rsidP="0008713C">
      <w:pPr>
        <w:spacing w:before="120"/>
        <w:jc w:val="both"/>
        <w:rPr>
          <w:b/>
          <w:lang w:val="en-US"/>
        </w:rPr>
      </w:pPr>
    </w:p>
    <w:p w:rsidR="0008713C" w:rsidRDefault="0008713C" w:rsidP="0008713C">
      <w:pPr>
        <w:spacing w:before="120"/>
        <w:jc w:val="both"/>
        <w:rPr>
          <w:lang w:val="en-US"/>
        </w:rPr>
      </w:pPr>
      <w:r>
        <w:rPr>
          <w:lang w:val="en-US"/>
        </w:rPr>
        <w:t>The Managing Company claims the right to close the negotiations without choosing any of the offers.</w:t>
      </w:r>
    </w:p>
    <w:p w:rsidR="0008713C" w:rsidRDefault="0008713C" w:rsidP="0008713C">
      <w:pPr>
        <w:rPr>
          <w:lang w:val="en-US"/>
        </w:rPr>
      </w:pPr>
    </w:p>
    <w:p w:rsidR="00F63DDC" w:rsidRDefault="00F63DDC"/>
    <w:sectPr w:rsidR="00F63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86"/>
    <w:rsid w:val="0005682F"/>
    <w:rsid w:val="0008713C"/>
    <w:rsid w:val="00185E04"/>
    <w:rsid w:val="0058212B"/>
    <w:rsid w:val="007A04E7"/>
    <w:rsid w:val="00863B86"/>
    <w:rsid w:val="00965613"/>
    <w:rsid w:val="00F63D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C8188-B223-4F32-8528-17226EAA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3B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595</Words>
  <Characters>3575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6</cp:revision>
  <dcterms:created xsi:type="dcterms:W3CDTF">2016-10-19T12:54:00Z</dcterms:created>
  <dcterms:modified xsi:type="dcterms:W3CDTF">2016-10-19T13:13:00Z</dcterms:modified>
</cp:coreProperties>
</file>